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7F" w:rsidRDefault="0016260F">
      <w:pPr>
        <w:spacing w:before="15"/>
        <w:ind w:left="121"/>
        <w:jc w:val="center"/>
        <w:rPr>
          <w:rFonts w:ascii="宋体" w:eastAsia="宋体"/>
          <w:b/>
          <w:bCs/>
          <w:sz w:val="90"/>
          <w:szCs w:val="90"/>
        </w:rPr>
      </w:pPr>
      <w:r>
        <w:rPr>
          <w:rFonts w:ascii="宋体" w:eastAsia="宋体" w:hint="eastAsia"/>
          <w:b/>
          <w:bCs/>
          <w:color w:val="FF0000"/>
          <w:w w:val="50"/>
          <w:sz w:val="90"/>
          <w:szCs w:val="90"/>
        </w:rPr>
        <w:t>河南省高等学校图书情报工作委员会文件</w:t>
      </w:r>
    </w:p>
    <w:p w:rsidR="002C5A7F" w:rsidRDefault="0016260F">
      <w:pPr>
        <w:pStyle w:val="a3"/>
        <w:spacing w:before="60"/>
        <w:ind w:left="390" w:right="54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豫高校图工委〔2022〕01号</w:t>
      </w:r>
    </w:p>
    <w:p w:rsidR="002C5A7F" w:rsidRDefault="002C5A7F">
      <w:pPr>
        <w:pStyle w:val="a3"/>
        <w:rPr>
          <w:sz w:val="15"/>
        </w:rPr>
      </w:pPr>
    </w:p>
    <w:p w:rsidR="002C5A7F" w:rsidRDefault="0016260F">
      <w:pPr>
        <w:pStyle w:val="a3"/>
        <w:spacing w:line="20" w:lineRule="exact"/>
        <w:ind w:left="-186"/>
        <w:rPr>
          <w:rFonts w:ascii="仿宋" w:eastAsia="仿宋" w:hAnsi="仿宋" w:cs="仿宋"/>
          <w:sz w:val="36"/>
          <w:szCs w:val="36"/>
          <w:lang w:eastAsia="zh-Hans"/>
        </w:rPr>
      </w:pPr>
      <w:r>
        <w:rPr>
          <w:noProof/>
          <w:sz w:val="2"/>
        </w:rPr>
        <mc:AlternateContent>
          <mc:Choice Requires="wpg">
            <w:drawing>
              <wp:inline distT="0" distB="0" distL="114300" distR="114300">
                <wp:extent cx="5600700" cy="6350"/>
                <wp:effectExtent l="0" t="0" r="0" b="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6350"/>
                          <a:chOff x="0" y="0"/>
                          <a:chExt cx="8820" cy="10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5"/>
                            <a:ext cx="88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A0C79" id="组合 2" o:spid="_x0000_s1026" style="width:441pt;height:.5pt;mso-position-horizontal-relative:char;mso-position-vertical-relative:line" coordsize="8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">
                <v:line id="直线 3" o:spid="_x0000_s1027" style="position:absolute;visibility:visible;mso-wrap-style:square" from="0,5" to="88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" strokecolor="red" strokeweight=".5pt"/>
                <w10:anchorlock/>
              </v:group>
            </w:pict>
          </mc:Fallback>
        </mc:AlternateContent>
      </w:r>
    </w:p>
    <w:p w:rsidR="002C5A7F" w:rsidRDefault="0016260F">
      <w:pPr>
        <w:pStyle w:val="2"/>
        <w:jc w:val="center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 w:hint="eastAsia"/>
          <w:sz w:val="36"/>
          <w:szCs w:val="36"/>
          <w:lang w:eastAsia="zh-Hans"/>
        </w:rPr>
        <w:t>关于开展第三届河南省高校大学生“</w:t>
      </w:r>
      <w:r>
        <w:rPr>
          <w:rFonts w:ascii="仿宋" w:eastAsia="仿宋" w:hAnsi="仿宋" w:cs="仿宋" w:hint="eastAsia"/>
          <w:sz w:val="36"/>
          <w:szCs w:val="36"/>
        </w:rPr>
        <w:t>踔厉奋发正青春</w:t>
      </w:r>
      <w:r>
        <w:rPr>
          <w:rFonts w:ascii="仿宋" w:eastAsia="仿宋" w:hAnsi="仿宋" w:cs="仿宋" w:hint="eastAsia"/>
          <w:sz w:val="36"/>
          <w:szCs w:val="36"/>
          <w:lang w:eastAsia="zh-Hans"/>
        </w:rPr>
        <w:t>·</w:t>
      </w:r>
      <w:r>
        <w:rPr>
          <w:rFonts w:ascii="仿宋" w:eastAsia="仿宋" w:hAnsi="仿宋" w:cs="仿宋" w:hint="eastAsia"/>
          <w:sz w:val="36"/>
          <w:szCs w:val="36"/>
        </w:rPr>
        <w:t>笃行不怠向未来</w:t>
      </w:r>
      <w:r>
        <w:rPr>
          <w:rFonts w:ascii="仿宋" w:eastAsia="仿宋" w:hAnsi="仿宋" w:cs="仿宋" w:hint="eastAsia"/>
          <w:sz w:val="36"/>
          <w:szCs w:val="36"/>
          <w:lang w:eastAsia="zh-Hans"/>
        </w:rPr>
        <w:t>”主题</w:t>
      </w:r>
      <w:r>
        <w:rPr>
          <w:rFonts w:ascii="仿宋" w:eastAsia="仿宋" w:hAnsi="仿宋" w:cs="仿宋" w:hint="eastAsia"/>
          <w:sz w:val="36"/>
          <w:szCs w:val="36"/>
        </w:rPr>
        <w:t>诵</w:t>
      </w:r>
      <w:r>
        <w:rPr>
          <w:rFonts w:ascii="仿宋" w:eastAsia="仿宋" w:hAnsi="仿宋" w:cs="仿宋" w:hint="eastAsia"/>
          <w:sz w:val="36"/>
          <w:szCs w:val="36"/>
          <w:lang w:eastAsia="zh-Hans"/>
        </w:rPr>
        <w:t>读大赛活动的通知</w:t>
      </w:r>
    </w:p>
    <w:p w:rsidR="002C5A7F" w:rsidRDefault="0016260F">
      <w:pPr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各高校图书馆：</w:t>
      </w:r>
    </w:p>
    <w:p w:rsidR="002C5A7F" w:rsidRDefault="001626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为深入贯彻落实习近平</w:t>
      </w:r>
      <w:r>
        <w:rPr>
          <w:rFonts w:ascii="仿宋" w:eastAsia="仿宋" w:hAnsi="仿宋" w:cs="仿宋"/>
          <w:sz w:val="32"/>
          <w:szCs w:val="32"/>
          <w:lang w:eastAsia="zh-Hans"/>
        </w:rPr>
        <w:t>新时代中国特色社会主义思想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深入挖掘</w:t>
      </w:r>
      <w:r>
        <w:rPr>
          <w:rFonts w:ascii="仿宋" w:eastAsia="仿宋" w:hAnsi="仿宋" w:cs="仿宋" w:hint="eastAsia"/>
          <w:sz w:val="32"/>
          <w:szCs w:val="32"/>
        </w:rPr>
        <w:t>中华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优秀传统文化的深厚内涵与人文精神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“滋养民族心灵 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培育文化自信”</w:t>
      </w:r>
      <w:r>
        <w:rPr>
          <w:rFonts w:ascii="仿宋" w:eastAsia="仿宋" w:hAnsi="仿宋" w:cs="仿宋" w:hint="eastAsia"/>
          <w:sz w:val="32"/>
          <w:szCs w:val="32"/>
        </w:rPr>
        <w:t>，进一步加强“四史”学习，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在学习领悟中坚定理想信念，在奋发有为中践行初心使命。在第27个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世界读书日”</w:t>
      </w:r>
      <w:r>
        <w:rPr>
          <w:rFonts w:ascii="仿宋" w:eastAsia="仿宋" w:hAnsi="仿宋" w:cs="仿宋" w:hint="eastAsia"/>
          <w:sz w:val="32"/>
          <w:szCs w:val="32"/>
        </w:rPr>
        <w:t>（4月23日）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来临之际，河南省高等学校图书情报工作委员会决定举办</w:t>
      </w:r>
      <w:r>
        <w:rPr>
          <w:rFonts w:ascii="仿宋" w:eastAsia="仿宋" w:hAnsi="仿宋" w:cs="仿宋" w:hint="eastAsia"/>
          <w:sz w:val="32"/>
          <w:szCs w:val="32"/>
        </w:rPr>
        <w:t>第三届河南省高校大学生“踔厉奋发正青春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·</w:t>
      </w:r>
      <w:r>
        <w:rPr>
          <w:rFonts w:ascii="仿宋" w:eastAsia="仿宋" w:hAnsi="仿宋" w:cs="仿宋" w:hint="eastAsia"/>
          <w:sz w:val="32"/>
          <w:szCs w:val="32"/>
        </w:rPr>
        <w:t>笃行不怠向未来”主题诵读大赛，现将有关事项通知如下：</w:t>
      </w:r>
    </w:p>
    <w:p w:rsidR="002C5A7F" w:rsidRDefault="0016260F">
      <w:pPr>
        <w:pStyle w:val="3"/>
        <w:numPr>
          <w:ilvl w:val="0"/>
          <w:numId w:val="1"/>
        </w:numPr>
        <w:spacing w:before="0" w:after="0" w:line="360" w:lineRule="auto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 w:hint="eastAsia"/>
          <w:szCs w:val="32"/>
          <w:lang w:eastAsia="zh-Hans"/>
        </w:rPr>
        <w:t>组织机构</w:t>
      </w:r>
    </w:p>
    <w:p w:rsidR="002C5A7F" w:rsidRDefault="0016260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Chars="200" w:left="1060" w:hangingChars="200" w:hanging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指导单位</w:t>
      </w:r>
      <w:r>
        <w:rPr>
          <w:rFonts w:ascii="仿宋" w:eastAsia="仿宋" w:hAnsi="仿宋" w:cs="仿宋" w:hint="eastAsia"/>
          <w:spacing w:val="-14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河南省教育厅高等教育处</w:t>
      </w:r>
    </w:p>
    <w:p w:rsidR="002C5A7F" w:rsidRDefault="0016260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Chars="200" w:left="2020" w:hangingChars="500" w:hanging="1600"/>
        <w:jc w:val="left"/>
        <w:textAlignment w:val="baseline"/>
        <w:rPr>
          <w:rFonts w:ascii="仿宋" w:eastAsia="仿宋" w:hAnsi="仿宋" w:cs="仿宋"/>
          <w:snapToGrid w:val="0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主办单位：河南省高等学校图书情报工作委员会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（阅读推广专业委员会、高职高专分委会）</w:t>
      </w:r>
    </w:p>
    <w:p w:rsidR="002C5A7F" w:rsidRDefault="0016260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leftChars="200" w:left="1060" w:hangingChars="200" w:hanging="640"/>
        <w:jc w:val="lef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 xml:space="preserve">协办单位：河南新永源电子科技有限公司 </w:t>
      </w:r>
    </w:p>
    <w:p w:rsidR="002C5A7F" w:rsidRDefault="0016260F">
      <w:pPr>
        <w:spacing w:line="360" w:lineRule="auto"/>
        <w:ind w:firstLine="42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技术支持：广州优谷信息技术有限公司</w:t>
      </w:r>
    </w:p>
    <w:p w:rsidR="002C5A7F" w:rsidRDefault="0016260F">
      <w:pPr>
        <w:pStyle w:val="3"/>
        <w:rPr>
          <w:rFonts w:ascii="仿宋" w:eastAsia="仿宋" w:hAnsi="仿宋" w:cs="仿宋"/>
          <w:szCs w:val="32"/>
          <w:lang w:eastAsia="zh-Hans"/>
        </w:rPr>
      </w:pPr>
      <w:r>
        <w:rPr>
          <w:rFonts w:ascii="仿宋" w:eastAsia="仿宋" w:hAnsi="仿宋" w:cs="仿宋" w:hint="eastAsia"/>
          <w:szCs w:val="32"/>
          <w:lang w:eastAsia="zh-Hans"/>
        </w:rPr>
        <w:lastRenderedPageBreak/>
        <w:t>二、活动主题</w:t>
      </w:r>
    </w:p>
    <w:p w:rsidR="002C5A7F" w:rsidRDefault="0016260F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踔厉奋发正青春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·</w:t>
      </w:r>
      <w:r>
        <w:rPr>
          <w:rFonts w:ascii="仿宋" w:eastAsia="仿宋" w:hAnsi="仿宋" w:cs="仿宋" w:hint="eastAsia"/>
          <w:sz w:val="32"/>
          <w:szCs w:val="32"/>
        </w:rPr>
        <w:t>笃行不怠向未来</w:t>
      </w:r>
    </w:p>
    <w:p w:rsidR="002C5A7F" w:rsidRDefault="0016260F">
      <w:pPr>
        <w:pStyle w:val="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  <w:lang w:eastAsia="zh-Hans"/>
        </w:rPr>
        <w:t>三、时间安排</w:t>
      </w:r>
    </w:p>
    <w:p w:rsidR="002C5A7F" w:rsidRDefault="001626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参赛报名时间：3月21日-4月30日</w:t>
      </w:r>
    </w:p>
    <w:p w:rsidR="002C5A7F" w:rsidRDefault="001626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校内初赛时间：4月1日-4月30日</w:t>
      </w:r>
    </w:p>
    <w:p w:rsidR="002C5A7F" w:rsidRDefault="001626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决赛作品报送时间：5月16日-5月20日</w:t>
      </w:r>
    </w:p>
    <w:p w:rsidR="002C5A7F" w:rsidRDefault="001626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决赛作品评选时间：5月23日-5月31日</w:t>
      </w:r>
    </w:p>
    <w:p w:rsidR="002C5A7F" w:rsidRDefault="001626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获奖名单公示时间：6月初</w:t>
      </w:r>
    </w:p>
    <w:p w:rsidR="002C5A7F" w:rsidRDefault="0016260F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获奖作品展播时间：6月中旬</w:t>
      </w:r>
    </w:p>
    <w:p w:rsidR="002C5A7F" w:rsidRDefault="0016260F">
      <w:pPr>
        <w:pStyle w:val="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  <w:lang w:eastAsia="zh-Hans"/>
        </w:rPr>
        <w:t>四、参赛机构</w:t>
      </w:r>
    </w:p>
    <w:p w:rsidR="002C5A7F" w:rsidRDefault="0016260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河南省各高等学校（含普通高校、高职高专）</w:t>
      </w:r>
    </w:p>
    <w:p w:rsidR="002C5A7F" w:rsidRDefault="0016260F">
      <w:pPr>
        <w:pStyle w:val="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  <w:lang w:eastAsia="zh-Hans"/>
        </w:rPr>
        <w:t>五、组织形式</w:t>
      </w:r>
    </w:p>
    <w:p w:rsidR="002C5A7F" w:rsidRDefault="0016260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仿宋"/>
          <w:snapToGrid w:val="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本次活动成立“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第三届河南省高校大学生</w:t>
      </w:r>
      <w:r>
        <w:rPr>
          <w:rFonts w:ascii="仿宋" w:eastAsia="仿宋" w:hAnsi="仿宋" w:cs="仿宋" w:hint="eastAsia"/>
          <w:sz w:val="32"/>
          <w:szCs w:val="32"/>
        </w:rPr>
        <w:t>‘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踔厉奋发正青春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·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笃行不怠向未来</w:t>
      </w:r>
      <w:r>
        <w:rPr>
          <w:rFonts w:ascii="仿宋" w:eastAsia="仿宋" w:hAnsi="仿宋" w:cs="仿宋" w:hint="eastAsia"/>
          <w:sz w:val="32"/>
          <w:szCs w:val="32"/>
        </w:rPr>
        <w:t>’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主题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诵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读大赛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”组委会，下设本科组、高职高专组。本科组由阅读推广专业委员会组织、指导；高职高专组由高职高专分委会组织、指导。</w:t>
      </w:r>
    </w:p>
    <w:p w:rsidR="002C5A7F" w:rsidRDefault="0016260F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仿宋"/>
          <w:snapToGrid w:val="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大赛分初赛、决赛两个阶段。初赛由各高校图书馆组织、评选；初赛结束后，各高校图书馆报送本单位优秀作品进入决赛，决赛由组委会组织专家进行评选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。</w:t>
      </w:r>
    </w:p>
    <w:p w:rsidR="002C5A7F" w:rsidRDefault="0016260F">
      <w:pPr>
        <w:pStyle w:val="3"/>
        <w:numPr>
          <w:ilvl w:val="0"/>
          <w:numId w:val="2"/>
        </w:numPr>
        <w:rPr>
          <w:rFonts w:ascii="仿宋" w:eastAsia="仿宋" w:hAnsi="仿宋" w:cs="仿宋"/>
          <w:szCs w:val="32"/>
          <w:lang w:eastAsia="zh-Hans"/>
        </w:rPr>
      </w:pPr>
      <w:r>
        <w:rPr>
          <w:rFonts w:ascii="仿宋" w:eastAsia="仿宋" w:hAnsi="仿宋" w:cs="仿宋" w:hint="eastAsia"/>
          <w:szCs w:val="32"/>
          <w:lang w:eastAsia="zh-Hans"/>
        </w:rPr>
        <w:lastRenderedPageBreak/>
        <w:t>活动流程</w:t>
      </w:r>
    </w:p>
    <w:p w:rsidR="002C5A7F" w:rsidRDefault="0016260F">
      <w:pPr>
        <w:numPr>
          <w:ilvl w:val="0"/>
          <w:numId w:val="3"/>
        </w:numPr>
        <w:tabs>
          <w:tab w:val="left" w:pos="617"/>
        </w:tabs>
        <w:spacing w:line="360" w:lineRule="auto"/>
        <w:ind w:firstLineChars="200" w:firstLine="636"/>
        <w:rPr>
          <w:rFonts w:ascii="仿宋" w:eastAsia="仿宋" w:hAnsi="仿宋" w:cs="仿宋"/>
          <w:spacing w:val="-1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Hans"/>
        </w:rPr>
        <w:t>平台开通：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各高校</w:t>
      </w:r>
      <w:r>
        <w:rPr>
          <w:rFonts w:ascii="仿宋" w:eastAsia="仿宋" w:hAnsi="仿宋" w:cs="仿宋" w:hint="eastAsia"/>
          <w:spacing w:val="-1"/>
          <w:sz w:val="32"/>
          <w:szCs w:val="32"/>
          <w:lang w:eastAsia="zh-Hans"/>
        </w:rPr>
        <w:t>以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学</w:t>
      </w:r>
      <w:r>
        <w:rPr>
          <w:rFonts w:ascii="仿宋" w:eastAsia="仿宋" w:hAnsi="仿宋" w:cs="仿宋" w:hint="eastAsia"/>
          <w:spacing w:val="-1"/>
          <w:sz w:val="32"/>
          <w:szCs w:val="32"/>
          <w:lang w:eastAsia="zh-Hans"/>
        </w:rPr>
        <w:t>校为单位提交申请表，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确认后</w:t>
      </w:r>
      <w:r>
        <w:rPr>
          <w:rFonts w:ascii="仿宋" w:eastAsia="仿宋" w:hAnsi="仿宋" w:cs="仿宋" w:hint="eastAsia"/>
          <w:sz w:val="32"/>
          <w:szCs w:val="32"/>
        </w:rPr>
        <w:t>由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组委会开通</w:t>
      </w:r>
      <w:r>
        <w:rPr>
          <w:rFonts w:ascii="仿宋" w:eastAsia="仿宋" w:hAnsi="仿宋" w:cs="仿宋" w:hint="eastAsia"/>
          <w:sz w:val="32"/>
          <w:szCs w:val="32"/>
        </w:rPr>
        <w:t>线上诵读平台（</w:t>
      </w:r>
      <w:r>
        <w:rPr>
          <w:rFonts w:ascii="仿宋" w:eastAsia="仿宋" w:hAnsi="仿宋" w:cs="仿宋" w:hint="eastAsia"/>
          <w:spacing w:val="-1"/>
          <w:sz w:val="32"/>
          <w:szCs w:val="32"/>
          <w:lang w:eastAsia="zh-Hans"/>
        </w:rPr>
        <w:t>申请表详见附件1）。</w:t>
      </w:r>
    </w:p>
    <w:p w:rsidR="002C5A7F" w:rsidRDefault="0016260F">
      <w:pPr>
        <w:numPr>
          <w:ilvl w:val="0"/>
          <w:numId w:val="3"/>
        </w:numPr>
        <w:tabs>
          <w:tab w:val="left" w:pos="617"/>
        </w:tabs>
        <w:spacing w:line="360" w:lineRule="auto"/>
        <w:ind w:firstLineChars="200"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pacing w:val="-1"/>
          <w:sz w:val="32"/>
          <w:szCs w:val="32"/>
          <w:lang w:eastAsia="zh-Hans"/>
        </w:rPr>
        <w:t>初赛组织：</w:t>
      </w:r>
      <w:r>
        <w:rPr>
          <w:rFonts w:ascii="仿宋" w:eastAsia="仿宋" w:hAnsi="仿宋" w:cs="仿宋" w:hint="eastAsia"/>
          <w:spacing w:val="-2"/>
          <w:sz w:val="32"/>
          <w:szCs w:val="32"/>
          <w:lang w:eastAsia="zh-Hans"/>
        </w:rPr>
        <w:t>各参赛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高校</w:t>
      </w:r>
      <w:r>
        <w:rPr>
          <w:rFonts w:ascii="仿宋" w:eastAsia="仿宋" w:hAnsi="仿宋" w:cs="仿宋" w:hint="eastAsia"/>
          <w:spacing w:val="-2"/>
          <w:sz w:val="32"/>
          <w:szCs w:val="32"/>
          <w:lang w:eastAsia="zh-Hans"/>
        </w:rPr>
        <w:t>须通过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组委会</w:t>
      </w:r>
      <w:r>
        <w:rPr>
          <w:rFonts w:ascii="仿宋" w:eastAsia="仿宋" w:hAnsi="仿宋" w:cs="仿宋" w:hint="eastAsia"/>
          <w:spacing w:val="-2"/>
          <w:sz w:val="32"/>
          <w:szCs w:val="32"/>
          <w:lang w:eastAsia="zh-Hans"/>
        </w:rPr>
        <w:t>指定平台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初赛活动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初赛期间</w:t>
      </w:r>
      <w:r>
        <w:rPr>
          <w:rFonts w:ascii="仿宋" w:eastAsia="仿宋" w:hAnsi="仿宋" w:cs="仿宋" w:hint="eastAsia"/>
          <w:spacing w:val="-2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学生</w:t>
      </w:r>
      <w:r>
        <w:rPr>
          <w:rFonts w:ascii="仿宋" w:eastAsia="仿宋" w:hAnsi="仿宋" w:cs="仿宋" w:hint="eastAsia"/>
          <w:sz w:val="32"/>
          <w:szCs w:val="32"/>
        </w:rPr>
        <w:t>可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通过线上</w:t>
      </w:r>
      <w:r>
        <w:rPr>
          <w:rFonts w:ascii="仿宋" w:eastAsia="仿宋" w:hAnsi="仿宋" w:cs="仿宋" w:hint="eastAsia"/>
          <w:sz w:val="32"/>
          <w:szCs w:val="32"/>
        </w:rPr>
        <w:t>诵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读平台</w:t>
      </w:r>
      <w:r>
        <w:rPr>
          <w:rFonts w:ascii="仿宋" w:eastAsia="仿宋" w:hAnsi="仿宋" w:cs="仿宋" w:hint="eastAsia"/>
          <w:sz w:val="32"/>
          <w:szCs w:val="32"/>
        </w:rPr>
        <w:t>在线报名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参与诵读并上传作品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。</w:t>
      </w:r>
    </w:p>
    <w:p w:rsidR="002C5A7F" w:rsidRDefault="0016260F">
      <w:pPr>
        <w:numPr>
          <w:ilvl w:val="0"/>
          <w:numId w:val="3"/>
        </w:numPr>
        <w:tabs>
          <w:tab w:val="left" w:pos="617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决赛报送：</w:t>
      </w:r>
      <w:r>
        <w:rPr>
          <w:rFonts w:ascii="仿宋" w:eastAsia="仿宋" w:hAnsi="仿宋" w:cs="仿宋" w:hint="eastAsia"/>
          <w:sz w:val="32"/>
          <w:szCs w:val="32"/>
        </w:rPr>
        <w:t>各参赛高校在初赛评选基础上，向组委会报送本单位优秀作品（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本科院校</w:t>
      </w:r>
      <w:r>
        <w:rPr>
          <w:rFonts w:ascii="仿宋" w:eastAsia="仿宋" w:hAnsi="仿宋" w:cs="仿宋" w:hint="eastAsia"/>
          <w:sz w:val="32"/>
          <w:szCs w:val="32"/>
        </w:rPr>
        <w:t>每校报送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10个、</w:t>
      </w:r>
      <w:r>
        <w:rPr>
          <w:rFonts w:ascii="仿宋" w:eastAsia="仿宋" w:hAnsi="仿宋" w:cs="仿宋" w:hint="eastAsia"/>
          <w:sz w:val="32"/>
          <w:szCs w:val="32"/>
        </w:rPr>
        <w:t>高职高专院校每校报送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6个</w:t>
      </w:r>
      <w:r>
        <w:rPr>
          <w:rFonts w:ascii="仿宋" w:eastAsia="仿宋" w:hAnsi="仿宋" w:cs="仿宋" w:hint="eastAsia"/>
          <w:spacing w:val="-5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参加全省决赛。</w:t>
      </w:r>
    </w:p>
    <w:p w:rsidR="002C5A7F" w:rsidRDefault="0016260F">
      <w:pPr>
        <w:numPr>
          <w:ilvl w:val="0"/>
          <w:numId w:val="3"/>
        </w:numPr>
        <w:tabs>
          <w:tab w:val="left" w:pos="617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决赛作品评选：</w:t>
      </w:r>
      <w:r>
        <w:rPr>
          <w:rFonts w:ascii="仿宋" w:eastAsia="仿宋" w:hAnsi="仿宋" w:cs="仿宋" w:hint="eastAsia"/>
          <w:sz w:val="32"/>
          <w:szCs w:val="32"/>
        </w:rPr>
        <w:t>组委会将组织相关专家开展评审工作</w:t>
      </w:r>
      <w:r>
        <w:rPr>
          <w:rFonts w:ascii="仿宋" w:eastAsia="仿宋" w:hAnsi="仿宋" w:cs="仿宋" w:hint="eastAsia"/>
          <w:spacing w:val="-3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评选出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获奖单位与</w:t>
      </w:r>
      <w:r>
        <w:rPr>
          <w:rFonts w:ascii="仿宋" w:eastAsia="仿宋" w:hAnsi="仿宋" w:cs="仿宋" w:hint="eastAsia"/>
          <w:sz w:val="32"/>
          <w:szCs w:val="32"/>
        </w:rPr>
        <w:t>获奖作品</w:t>
      </w:r>
      <w:r>
        <w:rPr>
          <w:rFonts w:ascii="仿宋" w:eastAsia="仿宋" w:hAnsi="仿宋" w:cs="仿宋" w:hint="eastAsia"/>
          <w:spacing w:val="-10"/>
          <w:sz w:val="32"/>
          <w:szCs w:val="32"/>
        </w:rPr>
        <w:t>。</w:t>
      </w:r>
    </w:p>
    <w:p w:rsidR="002C5A7F" w:rsidRDefault="0016260F">
      <w:pPr>
        <w:numPr>
          <w:ilvl w:val="0"/>
          <w:numId w:val="3"/>
        </w:numPr>
        <w:tabs>
          <w:tab w:val="left" w:pos="617"/>
        </w:tabs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获奖公布：组委会公布获奖名单并进行优秀作品展播。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 xml:space="preserve"> </w:t>
      </w:r>
    </w:p>
    <w:p w:rsidR="002C5A7F" w:rsidRDefault="0016260F">
      <w:pPr>
        <w:pStyle w:val="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  <w:lang w:eastAsia="zh-Hans"/>
        </w:rPr>
        <w:t>七、作品内容与要求</w:t>
      </w:r>
    </w:p>
    <w:p w:rsidR="002C5A7F" w:rsidRDefault="0016260F">
      <w:pPr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仿宋"/>
          <w:snapToGrid w:val="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音频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或视频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形式，提交录制作品整体时长(含开头和结尾的铺垫)建议8分钟以内。</w:t>
      </w:r>
    </w:p>
    <w:p w:rsidR="002C5A7F" w:rsidRDefault="0016260F">
      <w:pPr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仿宋"/>
          <w:snapToGrid w:val="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作品要求内容健康、向上，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符合本次比赛主题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，选用、改编与自创作品均可。应注意选择符合自身理解水平、声音特质的作品展示。</w:t>
      </w:r>
    </w:p>
    <w:p w:rsidR="002C5A7F" w:rsidRDefault="0016260F">
      <w:pPr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仿宋"/>
          <w:snapToGrid w:val="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音频需背景无杂音，吐字清晰，表达流利连贯。</w:t>
      </w:r>
    </w:p>
    <w:p w:rsidR="002C5A7F" w:rsidRDefault="0016260F">
      <w:pPr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视频需横屏录制，mp4格式，视频大小建议不超过400MB，建议分辨率1080p及以下。拍摄背景要求干净整洁，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lastRenderedPageBreak/>
        <w:t>保证人物、声音清晰，可自行进行剪辑，但不可替换参与者声音。应避免出现与活动无关的商业信息(如其它活动背景、品牌LOGO等)。录制视频时参与者的着装、发型要求整洁得体，不做化妆等要求，可根据作品表现需求着装。</w:t>
      </w:r>
    </w:p>
    <w:p w:rsidR="002C5A7F" w:rsidRDefault="0016260F">
      <w:pPr>
        <w:widowControl/>
        <w:numPr>
          <w:ilvl w:val="0"/>
          <w:numId w:val="4"/>
        </w:numPr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鼓励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提交多人合作的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音频或视频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eastAsia="zh-Hans" w:bidi="ar"/>
        </w:rPr>
        <w:t>作品参赛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  <w:lang w:bidi="ar"/>
        </w:rPr>
        <w:t>。</w:t>
      </w:r>
    </w:p>
    <w:p w:rsidR="002C5A7F" w:rsidRDefault="0016260F">
      <w:pPr>
        <w:pStyle w:val="3"/>
        <w:numPr>
          <w:ilvl w:val="0"/>
          <w:numId w:val="5"/>
        </w:numPr>
        <w:rPr>
          <w:rFonts w:ascii="仿宋" w:eastAsia="仿宋" w:hAnsi="仿宋" w:cs="仿宋"/>
          <w:szCs w:val="32"/>
          <w:lang w:eastAsia="zh-Hans"/>
        </w:rPr>
      </w:pPr>
      <w:r>
        <w:rPr>
          <w:rFonts w:ascii="仿宋" w:eastAsia="仿宋" w:hAnsi="仿宋" w:cs="仿宋" w:hint="eastAsia"/>
          <w:szCs w:val="32"/>
          <w:lang w:eastAsia="zh-Hans"/>
        </w:rPr>
        <w:t>联系方式</w:t>
      </w:r>
    </w:p>
    <w:p w:rsidR="002C5A7F" w:rsidRDefault="0016260F">
      <w:pPr>
        <w:ind w:firstLineChars="200" w:firstLine="640"/>
        <w:jc w:val="lef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组委会协调人：周海洋 13598889310  0371-67763546</w:t>
      </w:r>
    </w:p>
    <w:p w:rsidR="002C5A7F" w:rsidRDefault="0016260F">
      <w:pPr>
        <w:tabs>
          <w:tab w:val="left" w:pos="617"/>
        </w:tabs>
        <w:spacing w:line="48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活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动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联系人：田乙焯 15225086650  0371-66287898</w:t>
      </w:r>
    </w:p>
    <w:p w:rsidR="002C5A7F" w:rsidRDefault="002C5A7F">
      <w:pPr>
        <w:tabs>
          <w:tab w:val="left" w:pos="617"/>
        </w:tabs>
        <w:spacing w:line="48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  <w:lang w:eastAsia="zh-Hans"/>
        </w:rPr>
      </w:pPr>
    </w:p>
    <w:p w:rsidR="002C5A7F" w:rsidRDefault="0016260F">
      <w:pPr>
        <w:tabs>
          <w:tab w:val="left" w:pos="617"/>
        </w:tabs>
        <w:spacing w:line="480" w:lineRule="auto"/>
        <w:ind w:firstLineChars="200" w:firstLine="600"/>
        <w:jc w:val="lef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46355</wp:posOffset>
            </wp:positionV>
            <wp:extent cx="1844040" cy="18891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A7F" w:rsidRDefault="002C5A7F">
      <w:pPr>
        <w:tabs>
          <w:tab w:val="left" w:pos="617"/>
        </w:tabs>
        <w:spacing w:line="48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  <w:lang w:eastAsia="zh-Hans"/>
        </w:rPr>
      </w:pPr>
    </w:p>
    <w:p w:rsidR="002C5A7F" w:rsidRDefault="0016260F">
      <w:pPr>
        <w:pStyle w:val="a3"/>
        <w:spacing w:line="367" w:lineRule="auto"/>
        <w:ind w:left="102" w:right="72" w:firstLine="619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河南省高等学校图书情报工作委员会</w:t>
      </w:r>
    </w:p>
    <w:p w:rsidR="002C5A7F" w:rsidRDefault="0016260F" w:rsidP="00F21190">
      <w:pPr>
        <w:pStyle w:val="a3"/>
        <w:spacing w:line="367" w:lineRule="auto"/>
        <w:ind w:left="102" w:right="72" w:firstLine="619"/>
        <w:jc w:val="center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</w:rPr>
        <w:t xml:space="preserve">                     2022年3月15日</w:t>
      </w:r>
      <w:bookmarkStart w:id="0" w:name="_GoBack"/>
      <w:bookmarkEnd w:id="0"/>
    </w:p>
    <w:sectPr w:rsidR="002C5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04" w:rsidRDefault="00A15104" w:rsidP="00AF27B7">
      <w:r>
        <w:separator/>
      </w:r>
    </w:p>
  </w:endnote>
  <w:endnote w:type="continuationSeparator" w:id="0">
    <w:p w:rsidR="00A15104" w:rsidRDefault="00A15104" w:rsidP="00AF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04" w:rsidRDefault="00A15104" w:rsidP="00AF27B7">
      <w:r>
        <w:separator/>
      </w:r>
    </w:p>
  </w:footnote>
  <w:footnote w:type="continuationSeparator" w:id="0">
    <w:p w:rsidR="00A15104" w:rsidRDefault="00A15104" w:rsidP="00AF2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5E068"/>
    <w:multiLevelType w:val="singleLevel"/>
    <w:tmpl w:val="6225E068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226BE4F"/>
    <w:multiLevelType w:val="singleLevel"/>
    <w:tmpl w:val="6226BE4F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229C3F9"/>
    <w:multiLevelType w:val="singleLevel"/>
    <w:tmpl w:val="6229C3F9"/>
    <w:lvl w:ilvl="0">
      <w:start w:val="8"/>
      <w:numFmt w:val="chineseCounting"/>
      <w:suff w:val="nothing"/>
      <w:lvlText w:val="%1、"/>
      <w:lvlJc w:val="left"/>
    </w:lvl>
  </w:abstractNum>
  <w:abstractNum w:abstractNumId="3" w15:restartNumberingAfterBreak="0">
    <w:nsid w:val="622AEF55"/>
    <w:multiLevelType w:val="singleLevel"/>
    <w:tmpl w:val="622AEF55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622B0D16"/>
    <w:multiLevelType w:val="singleLevel"/>
    <w:tmpl w:val="622B0D16"/>
    <w:lvl w:ilvl="0">
      <w:start w:val="6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B379C3A1"/>
    <w:rsid w:val="B379C3A1"/>
    <w:rsid w:val="D7F2FCA0"/>
    <w:rsid w:val="EFFF94E6"/>
    <w:rsid w:val="F3FF37AA"/>
    <w:rsid w:val="F471E303"/>
    <w:rsid w:val="F71F9D5F"/>
    <w:rsid w:val="FF8FA6E4"/>
    <w:rsid w:val="0016260F"/>
    <w:rsid w:val="002C5A7F"/>
    <w:rsid w:val="009F31BD"/>
    <w:rsid w:val="00A15104"/>
    <w:rsid w:val="00AF27B7"/>
    <w:rsid w:val="00EA3198"/>
    <w:rsid w:val="00F21190"/>
    <w:rsid w:val="080A212F"/>
    <w:rsid w:val="109F1772"/>
    <w:rsid w:val="12C64EBC"/>
    <w:rsid w:val="1B5F7EC5"/>
    <w:rsid w:val="1DBFDF5C"/>
    <w:rsid w:val="23521AB2"/>
    <w:rsid w:val="2D4321D3"/>
    <w:rsid w:val="33D40F14"/>
    <w:rsid w:val="34474BE8"/>
    <w:rsid w:val="34C070AD"/>
    <w:rsid w:val="34CB0F10"/>
    <w:rsid w:val="3ECFAC70"/>
    <w:rsid w:val="3FB7A607"/>
    <w:rsid w:val="43FD5176"/>
    <w:rsid w:val="4AA22398"/>
    <w:rsid w:val="4B391A7A"/>
    <w:rsid w:val="4FEF324C"/>
    <w:rsid w:val="546926EB"/>
    <w:rsid w:val="55D850CC"/>
    <w:rsid w:val="58130AE0"/>
    <w:rsid w:val="5B0F0661"/>
    <w:rsid w:val="5BFB0A7B"/>
    <w:rsid w:val="5F7739FF"/>
    <w:rsid w:val="617D7E6A"/>
    <w:rsid w:val="6498177B"/>
    <w:rsid w:val="6C8F6BC2"/>
    <w:rsid w:val="6D991EC2"/>
    <w:rsid w:val="6EBB1E64"/>
    <w:rsid w:val="742449AF"/>
    <w:rsid w:val="79AA36CA"/>
    <w:rsid w:val="79DD7269"/>
    <w:rsid w:val="7DC12E14"/>
    <w:rsid w:val="7DD71E13"/>
    <w:rsid w:val="7EB36D68"/>
    <w:rsid w:val="7F3F1549"/>
    <w:rsid w:val="7F6ADE2C"/>
    <w:rsid w:val="8FBDFCAC"/>
    <w:rsid w:val="9DDFE092"/>
    <w:rsid w:val="B379C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691D9D"/>
  <w15:docId w15:val="{27203AA5-3F9A-4B9B-AFAE-2516C337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  <w:szCs w:val="30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rsid w:val="00AF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F27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F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F27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huahuaya</dc:creator>
  <cp:lastModifiedBy>王艳敏</cp:lastModifiedBy>
  <cp:revision>3</cp:revision>
  <dcterms:created xsi:type="dcterms:W3CDTF">2022-03-31T06:19:00Z</dcterms:created>
  <dcterms:modified xsi:type="dcterms:W3CDTF">2022-03-31T08:11:00Z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A549E46FE37948338BA21B21D17E65FB</vt:lpwstr>
  </property>
</Properties>
</file>